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38" w:rsidRPr="00A0410D" w:rsidRDefault="00F56B38" w:rsidP="00A0410D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0410D">
        <w:rPr>
          <w:rFonts w:ascii="Verdana" w:hAnsi="Verdana"/>
          <w:b/>
          <w:sz w:val="20"/>
          <w:szCs w:val="20"/>
          <w:u w:val="single"/>
          <w:lang w:val="bg-BG"/>
        </w:rPr>
        <w:t>Частни детски градини – реалност за високодоходните семейства</w:t>
      </w:r>
    </w:p>
    <w:p w:rsidR="00F23F23" w:rsidRPr="00A0410D" w:rsidRDefault="00F23F23" w:rsidP="00A0410D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0410D" w:rsidRPr="00A0410D" w:rsidRDefault="00A0410D" w:rsidP="00A0410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584B" wp14:editId="282B239E">
                <wp:simplePos x="0" y="0"/>
                <wp:positionH relativeFrom="column">
                  <wp:posOffset>158115</wp:posOffset>
                </wp:positionH>
                <wp:positionV relativeFrom="paragraph">
                  <wp:posOffset>702945</wp:posOffset>
                </wp:positionV>
                <wp:extent cx="3390900" cy="266700"/>
                <wp:effectExtent l="0" t="0" r="0" b="0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0D" w:rsidRPr="0061508E" w:rsidRDefault="00A0410D" w:rsidP="00A0410D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1508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bg-BG"/>
                              </w:rPr>
                              <w:t>Естествен приръст на руското население (1992-2014)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3" o:spid="_x0000_s1026" type="#_x0000_t202" style="position:absolute;left:0;text-align:left;margin-left:12.45pt;margin-top:55.35pt;width:26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A0410D" w:rsidRPr="0061508E" w:rsidRDefault="00A0410D" w:rsidP="00A0410D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bg-BG"/>
                        </w:rPr>
                      </w:pPr>
                      <w:r w:rsidRPr="0061508E">
                        <w:rPr>
                          <w:rFonts w:ascii="Verdana" w:hAnsi="Verdana"/>
                          <w:i/>
                          <w:sz w:val="16"/>
                          <w:szCs w:val="16"/>
                          <w:lang w:val="bg-BG"/>
                        </w:rPr>
                        <w:t>Естествен приръст на руското население (1992-2014)</w:t>
                      </w:r>
                    </w:p>
                  </w:txbxContent>
                </v:textbox>
              </v:shape>
            </w:pict>
          </mc:Fallback>
        </mc:AlternateContent>
      </w:r>
      <w:r w:rsidRPr="00A0410D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A022D3B" wp14:editId="608DF930">
            <wp:simplePos x="0" y="0"/>
            <wp:positionH relativeFrom="column">
              <wp:posOffset>5080</wp:posOffset>
            </wp:positionH>
            <wp:positionV relativeFrom="paragraph">
              <wp:posOffset>702945</wp:posOffset>
            </wp:positionV>
            <wp:extent cx="3719195" cy="1971675"/>
            <wp:effectExtent l="0" t="0" r="0" b="9525"/>
            <wp:wrapSquare wrapText="bothSides"/>
            <wp:docPr id="677" name="Picture 677" descr="http://blogs-images.forbes.com/markadomanis/files/2014/04/RussiaNatPop9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-images.forbes.com/markadomanis/files/2014/04/RussiaNatPop92-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10D">
        <w:rPr>
          <w:rFonts w:ascii="Verdana" w:hAnsi="Verdana"/>
          <w:sz w:val="20"/>
          <w:szCs w:val="20"/>
          <w:lang w:val="bg-BG"/>
        </w:rPr>
        <w:t>В момента</w:t>
      </w:r>
      <w:r w:rsidRPr="00A0410D">
        <w:rPr>
          <w:rFonts w:ascii="Verdana" w:hAnsi="Verdana"/>
          <w:sz w:val="20"/>
          <w:szCs w:val="20"/>
        </w:rPr>
        <w:t xml:space="preserve"> </w:t>
      </w:r>
      <w:r w:rsidRPr="00A0410D">
        <w:rPr>
          <w:rFonts w:ascii="Verdana" w:hAnsi="Verdana"/>
          <w:sz w:val="20"/>
          <w:szCs w:val="20"/>
          <w:lang w:val="bg-BG"/>
        </w:rPr>
        <w:t xml:space="preserve">в Русия темпът на раждаемостта расте за сметка на развитието на обществените и държавните програми в подкрепа на младите семейства. Следователно, расте и необходимостта от услуги, които да обслужват семействата и децата. Рязкото намаляване на броя на детските градини в постсъветския период е било свързано с ниската раждаемост в тези години, но днес, въпреки повишението на този показател, увеличение в броя на детските градини не се наблюдава.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sz w:val="20"/>
          <w:szCs w:val="20"/>
          <w:lang w:val="bg-BG"/>
        </w:rPr>
        <w:tab/>
        <w:t>Липсата на бал</w:t>
      </w:r>
      <w:r w:rsidRPr="00A0410D">
        <w:rPr>
          <w:rFonts w:ascii="Verdana" w:hAnsi="Verdana"/>
          <w:sz w:val="20"/>
          <w:szCs w:val="20"/>
          <w:lang w:val="en-US"/>
        </w:rPr>
        <w:t>a</w:t>
      </w:r>
      <w:r w:rsidRPr="00A0410D">
        <w:rPr>
          <w:rFonts w:ascii="Verdana" w:hAnsi="Verdana"/>
          <w:sz w:val="20"/>
          <w:szCs w:val="20"/>
          <w:lang w:val="bg-BG"/>
        </w:rPr>
        <w:t xml:space="preserve">нс при търсенето и предлагането в сегмента на детските градини е впечатляващ. По данни на статистиката, има дефицит от места в предучилищни заведения за почти 2 милиона деца, което се равнява на около 10% от децата в тази възраст. Освен това, в РФ частните детски градини са не повече от 2500, което е само 5% от общия брой.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8D1B43" wp14:editId="6C5B8F83">
            <wp:simplePos x="0" y="0"/>
            <wp:positionH relativeFrom="column">
              <wp:posOffset>3063875</wp:posOffset>
            </wp:positionH>
            <wp:positionV relativeFrom="paragraph">
              <wp:posOffset>2449195</wp:posOffset>
            </wp:positionV>
            <wp:extent cx="2869565" cy="2162175"/>
            <wp:effectExtent l="0" t="0" r="6985" b="9525"/>
            <wp:wrapSquare wrapText="bothSides"/>
            <wp:docPr id="678" name="Picture 678" descr="http://vse35.ru/upload/iblock/796/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35.ru/upload/iblock/796/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10D">
        <w:rPr>
          <w:rFonts w:ascii="Verdana" w:hAnsi="Verdana"/>
          <w:sz w:val="20"/>
          <w:szCs w:val="20"/>
          <w:lang w:val="bg-BG"/>
        </w:rPr>
        <w:tab/>
        <w:t>Въпреки високото търсене на такива услуги</w:t>
      </w:r>
      <w:r w:rsidRPr="00A0410D">
        <w:rPr>
          <w:rFonts w:ascii="Verdana" w:hAnsi="Verdana"/>
          <w:sz w:val="20"/>
          <w:szCs w:val="20"/>
        </w:rPr>
        <w:t>,</w:t>
      </w:r>
      <w:r w:rsidRPr="00A0410D">
        <w:rPr>
          <w:rFonts w:ascii="Verdana" w:hAnsi="Verdana"/>
          <w:sz w:val="20"/>
          <w:szCs w:val="20"/>
          <w:lang w:val="bg-BG"/>
        </w:rPr>
        <w:t xml:space="preserve"> този пазар не се развива активно и това се дължи на няколко причини. Като начало, държавните изисквания са много високи, поради важността на предучилищното отглеждане на деца. Практически всеки квадратен метър в една детска градина е разчетен и регламентиран – нужно е да има определен брой шкафчета за дрехи, опр</w:t>
      </w:r>
      <w:r w:rsidRPr="00A0410D">
        <w:rPr>
          <w:rFonts w:ascii="Verdana" w:hAnsi="Verdana"/>
          <w:sz w:val="20"/>
          <w:szCs w:val="20"/>
          <w:lang w:val="en-US"/>
        </w:rPr>
        <w:t>e</w:t>
      </w:r>
      <w:r w:rsidRPr="00A0410D">
        <w:rPr>
          <w:rFonts w:ascii="Verdana" w:hAnsi="Verdana"/>
          <w:sz w:val="20"/>
          <w:szCs w:val="20"/>
          <w:lang w:val="bg-BG"/>
        </w:rPr>
        <w:t xml:space="preserve">делен цвят на мебелите и спалното бельо, конкретно количество препарат за миене и други. Помещението трябва да е достатъчно голямо, за да разполага всяко дете с най-малко 11 кв.м. Задължително е да има музикална стая и безопасно оборудвана детска площадка. Поради високите изисквания на държавата, за откриването и предлагането на тази услуга е нужен много висок начален капитал. Експертите определят, че само за откриването на официално лицензирана детска градина са нужни до 3 млн.рубли.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sz w:val="20"/>
          <w:szCs w:val="20"/>
          <w:lang w:val="bg-BG"/>
        </w:rPr>
        <w:tab/>
        <w:t>Нужно е да се приеме като даденост, че детските градини са под постоянни проверки от държавни учреждения и никой не може да гарантира, че седмица след откриване на дет</w:t>
      </w:r>
      <w:bookmarkStart w:id="0" w:name="_GoBack"/>
      <w:bookmarkEnd w:id="0"/>
      <w:r w:rsidRPr="00A0410D">
        <w:rPr>
          <w:rFonts w:ascii="Verdana" w:hAnsi="Verdana"/>
          <w:sz w:val="20"/>
          <w:szCs w:val="20"/>
          <w:lang w:val="bg-BG"/>
        </w:rPr>
        <w:t xml:space="preserve">ската градина, една такава инспекция няма да я затвори, поради минимални дори несъответствия с изискванията.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sz w:val="20"/>
          <w:szCs w:val="20"/>
          <w:lang w:val="bg-BG"/>
        </w:rPr>
        <w:lastRenderedPageBreak/>
        <w:tab/>
        <w:t xml:space="preserve">Втората причина, задържаща развитието на този сегмент, е неплатежоспособността на руските семейства. Поради високите инвестиции в подобни проекти, цените на тези услуги са много високи. Повечето родители не са готови да плащат 10 000 рубли месечно. Поради тази причина, бъдещето на този пазар е по-скоро в премиум-сегмента.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sz w:val="20"/>
          <w:szCs w:val="20"/>
          <w:lang w:val="bg-BG"/>
        </w:rPr>
        <w:tab/>
        <w:t xml:space="preserve">Последната причина е, че бизнесът не е готов да прави „дългосрочни“ инвестиции. А образованието не е сферата, в която се правят „бързи“ и лесни пари. В най-добрите случаи се предвижда един такъв проект да възвърне инвестицията след  5-7 години, като първите 4 са основно „инвестиционни“ години. </w:t>
      </w:r>
    </w:p>
    <w:p w:rsidR="00A0410D" w:rsidRPr="00A0410D" w:rsidRDefault="00A0410D" w:rsidP="00A0410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0410D">
        <w:rPr>
          <w:rFonts w:ascii="Verdana" w:hAnsi="Verdana"/>
          <w:sz w:val="20"/>
          <w:szCs w:val="20"/>
          <w:lang w:val="bg-BG"/>
        </w:rPr>
        <w:tab/>
        <w:t xml:space="preserve">Но, ако погледнем откъм по-положителната страна, неотдавна влязоха в сила няколко правила, които облекчават задачата на инвеститорите в частни детски градини. Отчитайки, че в момента най-търсени са услугите за деца между 1,5 – 3 годинки, през януари 2014 г. започна финансиране на частни образователни организации. Държавата до известна степен компенсира инвестициите в разходи за заплати, за покупка на учебници и друга литература, на средства за обучение, игри и играчки. Компенсации, обаче, не се предвиждат за обзавеждането на сградата и за комуналните услуги. </w:t>
      </w:r>
    </w:p>
    <w:p w:rsidR="00A0410D" w:rsidRPr="00A0410D" w:rsidRDefault="00A0410D" w:rsidP="00A0410D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0410D" w:rsidRPr="00A0410D" w:rsidRDefault="00A0410D" w:rsidP="00A0410D">
      <w:pPr>
        <w:spacing w:line="360" w:lineRule="auto"/>
        <w:jc w:val="right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hyperlink r:id="rId7" w:history="1">
        <w:r w:rsidRPr="00A0410D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Pr="00A0410D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A0410D">
          <w:rPr>
            <w:rStyle w:val="Hyperlink"/>
            <w:rFonts w:ascii="Verdana" w:hAnsi="Verdana"/>
            <w:sz w:val="20"/>
            <w:szCs w:val="20"/>
            <w:lang w:val="en-US"/>
          </w:rPr>
          <w:t>rosinvest</w:t>
        </w:r>
        <w:proofErr w:type="spellEnd"/>
        <w:r w:rsidRPr="00A0410D">
          <w:rPr>
            <w:rStyle w:val="Hyperlink"/>
            <w:rFonts w:ascii="Verdana" w:hAnsi="Verdana"/>
            <w:sz w:val="20"/>
            <w:szCs w:val="20"/>
          </w:rPr>
          <w:t>.</w:t>
        </w:r>
        <w:r w:rsidRPr="00A0410D">
          <w:rPr>
            <w:rStyle w:val="Hyperlink"/>
            <w:rFonts w:ascii="Verdana" w:hAnsi="Verdana"/>
            <w:sz w:val="20"/>
            <w:szCs w:val="20"/>
            <w:lang w:val="en-US"/>
          </w:rPr>
          <w:t>com</w:t>
        </w:r>
      </w:hyperlink>
    </w:p>
    <w:p w:rsidR="00F23F23" w:rsidRPr="00A0410D" w:rsidRDefault="00F23F23" w:rsidP="00A0410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sectPr w:rsidR="00F23F23" w:rsidRPr="00A0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EF"/>
    <w:rsid w:val="00412256"/>
    <w:rsid w:val="005330E3"/>
    <w:rsid w:val="0061508E"/>
    <w:rsid w:val="006739EF"/>
    <w:rsid w:val="00783456"/>
    <w:rsid w:val="008F1ACA"/>
    <w:rsid w:val="00A0410D"/>
    <w:rsid w:val="00BC1943"/>
    <w:rsid w:val="00C156C1"/>
    <w:rsid w:val="00F23F23"/>
    <w:rsid w:val="00F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v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8</cp:revision>
  <dcterms:created xsi:type="dcterms:W3CDTF">2014-04-25T06:03:00Z</dcterms:created>
  <dcterms:modified xsi:type="dcterms:W3CDTF">2014-05-05T09:26:00Z</dcterms:modified>
</cp:coreProperties>
</file>